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EF" w:rsidRDefault="006F06A0" w:rsidP="006F06A0">
      <w:pPr>
        <w:pStyle w:val="FreeForm"/>
        <w:tabs>
          <w:tab w:val="left" w:pos="11777"/>
        </w:tabs>
        <w:rPr>
          <w:rFonts w:ascii="Times New Roman" w:hAnsi="Times New Roman"/>
          <w:sz w:val="28"/>
        </w:rPr>
      </w:pPr>
      <w:r>
        <w:rPr>
          <w:rFonts w:ascii="Times New Roman" w:hAnsi="Times New Roman"/>
          <w:sz w:val="28"/>
        </w:rPr>
        <w:tab/>
      </w:r>
    </w:p>
    <w:p w:rsidR="0041422E" w:rsidRPr="00E00B06" w:rsidRDefault="0041422E" w:rsidP="002307EF">
      <w:pPr>
        <w:pStyle w:val="FreeForm"/>
        <w:jc w:val="right"/>
        <w:rPr>
          <w:rFonts w:ascii="Times New Roman" w:hAnsi="Times New Roman"/>
          <w:b/>
          <w:sz w:val="40"/>
          <w:szCs w:val="40"/>
        </w:rPr>
      </w:pPr>
      <w:r w:rsidRPr="00E00B06">
        <w:rPr>
          <w:rFonts w:ascii="Times New Roman" w:hAnsi="Times New Roman"/>
          <w:b/>
          <w:sz w:val="40"/>
          <w:szCs w:val="40"/>
        </w:rPr>
        <w:t xml:space="preserve">The Department of Gender Studies </w:t>
      </w:r>
    </w:p>
    <w:p w:rsidR="0041422E" w:rsidRPr="00E00B06" w:rsidRDefault="002307EF" w:rsidP="0041422E">
      <w:pPr>
        <w:pStyle w:val="FreeForm"/>
        <w:jc w:val="right"/>
        <w:rPr>
          <w:rFonts w:ascii="Times New Roman" w:hAnsi="Times New Roman"/>
          <w:b/>
          <w:sz w:val="40"/>
          <w:szCs w:val="40"/>
        </w:rPr>
      </w:pPr>
      <w:r w:rsidRPr="00E00B06">
        <w:rPr>
          <w:rFonts w:ascii="Times New Roman" w:hAnsi="Times New Roman"/>
          <w:b/>
          <w:sz w:val="40"/>
          <w:szCs w:val="40"/>
        </w:rPr>
        <w:t>201</w:t>
      </w:r>
      <w:r w:rsidR="00337A40" w:rsidRPr="00E00B06">
        <w:rPr>
          <w:rFonts w:ascii="Times New Roman" w:hAnsi="Times New Roman"/>
          <w:b/>
          <w:sz w:val="40"/>
          <w:szCs w:val="40"/>
        </w:rPr>
        <w:t>5</w:t>
      </w:r>
      <w:r w:rsidRPr="00E00B06">
        <w:rPr>
          <w:rFonts w:ascii="Times New Roman" w:hAnsi="Times New Roman"/>
          <w:b/>
          <w:sz w:val="40"/>
          <w:szCs w:val="40"/>
        </w:rPr>
        <w:t>-201</w:t>
      </w:r>
      <w:r w:rsidR="00337A40" w:rsidRPr="00E00B06">
        <w:rPr>
          <w:rFonts w:ascii="Times New Roman" w:hAnsi="Times New Roman"/>
          <w:b/>
          <w:sz w:val="40"/>
          <w:szCs w:val="40"/>
        </w:rPr>
        <w:t>6</w:t>
      </w:r>
      <w:r w:rsidR="0041422E" w:rsidRPr="00E00B06">
        <w:rPr>
          <w:rFonts w:ascii="Times New Roman" w:hAnsi="Times New Roman"/>
          <w:b/>
          <w:sz w:val="40"/>
          <w:szCs w:val="40"/>
        </w:rPr>
        <w:t xml:space="preserve"> Public Lecture Series</w:t>
      </w:r>
    </w:p>
    <w:p w:rsidR="0041422E" w:rsidRPr="00E00B06" w:rsidRDefault="009B26E2" w:rsidP="0041422E">
      <w:pPr>
        <w:pStyle w:val="FreeForm"/>
        <w:jc w:val="right"/>
        <w:rPr>
          <w:rFonts w:ascii="Times New Roman" w:hAnsi="Times New Roman"/>
          <w:b/>
          <w:sz w:val="40"/>
          <w:szCs w:val="40"/>
        </w:rPr>
      </w:pPr>
      <w:proofErr w:type="gramStart"/>
      <w:r w:rsidRPr="00E00B06">
        <w:rPr>
          <w:rFonts w:ascii="Times New Roman" w:hAnsi="Times New Roman"/>
          <w:b/>
          <w:sz w:val="40"/>
          <w:szCs w:val="40"/>
        </w:rPr>
        <w:t>present</w:t>
      </w:r>
      <w:r w:rsidR="00570521" w:rsidRPr="00E00B06">
        <w:rPr>
          <w:rFonts w:ascii="Times New Roman" w:hAnsi="Times New Roman"/>
          <w:b/>
          <w:sz w:val="40"/>
          <w:szCs w:val="40"/>
        </w:rPr>
        <w:t>s</w:t>
      </w:r>
      <w:proofErr w:type="gramEnd"/>
    </w:p>
    <w:p w:rsidR="002D6BCB" w:rsidRPr="00E00B06" w:rsidRDefault="002D6BCB" w:rsidP="002307EF">
      <w:pPr>
        <w:pStyle w:val="FreeForm"/>
        <w:tabs>
          <w:tab w:val="left" w:pos="5430"/>
        </w:tabs>
        <w:jc w:val="center"/>
        <w:rPr>
          <w:rFonts w:ascii="Times New Roman" w:hAnsi="Times New Roman"/>
          <w:b/>
          <w:sz w:val="28"/>
        </w:rPr>
      </w:pPr>
    </w:p>
    <w:p w:rsidR="0085479E" w:rsidRPr="00E00B06" w:rsidRDefault="0085479E" w:rsidP="002307EF">
      <w:pPr>
        <w:pStyle w:val="FreeForm"/>
        <w:tabs>
          <w:tab w:val="left" w:pos="5430"/>
        </w:tabs>
        <w:jc w:val="center"/>
        <w:rPr>
          <w:rFonts w:ascii="Times New Roman" w:hAnsi="Times New Roman"/>
          <w:b/>
          <w:sz w:val="28"/>
        </w:rPr>
      </w:pPr>
    </w:p>
    <w:p w:rsidR="00ED6C30" w:rsidRPr="00E00B06" w:rsidRDefault="00ED6C30">
      <w:pPr>
        <w:pStyle w:val="FreeForm"/>
        <w:jc w:val="center"/>
        <w:rPr>
          <w:rFonts w:ascii="Times New Roman" w:hAnsi="Times New Roman"/>
        </w:rPr>
      </w:pPr>
    </w:p>
    <w:p w:rsidR="0085479E" w:rsidRPr="00A51762" w:rsidRDefault="00A51762">
      <w:pPr>
        <w:pStyle w:val="FreeForm"/>
        <w:jc w:val="center"/>
        <w:rPr>
          <w:rFonts w:ascii="Times New Roman" w:hAnsi="Times New Roman"/>
          <w:b/>
          <w:color w:val="548DD4" w:themeColor="text2" w:themeTint="99"/>
          <w:sz w:val="48"/>
          <w:szCs w:val="48"/>
        </w:rPr>
      </w:pPr>
      <w:proofErr w:type="spellStart"/>
      <w:r>
        <w:rPr>
          <w:rFonts w:ascii="Times New Roman" w:hAnsi="Times New Roman"/>
          <w:b/>
          <w:color w:val="548DD4" w:themeColor="text2" w:themeTint="99"/>
          <w:sz w:val="56"/>
          <w:szCs w:val="56"/>
        </w:rPr>
        <w:t>Nadje</w:t>
      </w:r>
      <w:proofErr w:type="spellEnd"/>
      <w:r>
        <w:rPr>
          <w:rFonts w:ascii="Times New Roman" w:hAnsi="Times New Roman"/>
          <w:b/>
          <w:color w:val="548DD4" w:themeColor="text2" w:themeTint="99"/>
          <w:sz w:val="56"/>
          <w:szCs w:val="56"/>
        </w:rPr>
        <w:t xml:space="preserve"> Al-Ali</w:t>
      </w:r>
    </w:p>
    <w:p w:rsidR="0085479E" w:rsidRPr="00E00B06" w:rsidRDefault="0085479E">
      <w:pPr>
        <w:pStyle w:val="FreeForm"/>
        <w:jc w:val="center"/>
        <w:rPr>
          <w:rFonts w:ascii="Times New Roman" w:hAnsi="Times New Roman"/>
          <w:b/>
          <w:color w:val="0070C0"/>
          <w:sz w:val="48"/>
          <w:szCs w:val="48"/>
        </w:rPr>
      </w:pPr>
      <w:bookmarkStart w:id="0" w:name="_GoBack"/>
      <w:bookmarkEnd w:id="0"/>
    </w:p>
    <w:p w:rsidR="007C66C9" w:rsidRPr="00364E0B" w:rsidRDefault="00F82E58" w:rsidP="00364E0B">
      <w:pPr>
        <w:pStyle w:val="FreeForm"/>
        <w:jc w:val="center"/>
        <w:rPr>
          <w:rFonts w:ascii="Times New Roman" w:hAnsi="Times New Roman"/>
          <w:b/>
          <w:color w:val="548DD4" w:themeColor="text2" w:themeTint="99"/>
          <w:sz w:val="56"/>
          <w:szCs w:val="56"/>
        </w:rPr>
      </w:pPr>
      <w:r w:rsidRPr="00364E0B">
        <w:rPr>
          <w:rFonts w:ascii="Times New Roman" w:hAnsi="Times New Roman"/>
          <w:b/>
          <w:color w:val="548DD4" w:themeColor="text2" w:themeTint="99"/>
          <w:sz w:val="56"/>
          <w:szCs w:val="56"/>
        </w:rPr>
        <w:t>Protest, Body Politics and Authoritarianism: A Gendered Perspective on Political Developments in the Middle East</w:t>
      </w:r>
    </w:p>
    <w:p w:rsidR="00DD5A31" w:rsidRPr="00E00B06" w:rsidRDefault="00DD5A31">
      <w:pPr>
        <w:pStyle w:val="FreeForm"/>
        <w:jc w:val="center"/>
        <w:rPr>
          <w:rFonts w:ascii="Times New Roman" w:hAnsi="Times New Roman"/>
        </w:rPr>
      </w:pPr>
    </w:p>
    <w:p w:rsidR="00ED6C30" w:rsidRPr="00F82E58" w:rsidRDefault="00A51762" w:rsidP="00430439">
      <w:pPr>
        <w:pStyle w:val="FreeForm"/>
        <w:spacing w:line="360" w:lineRule="auto"/>
        <w:jc w:val="center"/>
        <w:rPr>
          <w:rFonts w:ascii="Times New Roman" w:hAnsi="Times New Roman"/>
          <w:color w:val="548DD4" w:themeColor="text2" w:themeTint="99"/>
          <w:sz w:val="44"/>
          <w:szCs w:val="44"/>
        </w:rPr>
      </w:pPr>
      <w:r w:rsidRPr="00F82E58">
        <w:rPr>
          <w:rFonts w:ascii="Times New Roman" w:hAnsi="Times New Roman"/>
          <w:color w:val="548DD4" w:themeColor="text2" w:themeTint="99"/>
          <w:sz w:val="44"/>
          <w:szCs w:val="44"/>
        </w:rPr>
        <w:t>6</w:t>
      </w:r>
      <w:r w:rsidR="00A037B3" w:rsidRPr="00F82E58">
        <w:rPr>
          <w:rFonts w:ascii="Times New Roman" w:hAnsi="Times New Roman"/>
          <w:color w:val="548DD4" w:themeColor="text2" w:themeTint="99"/>
          <w:sz w:val="44"/>
          <w:szCs w:val="44"/>
        </w:rPr>
        <w:t>:</w:t>
      </w:r>
      <w:r w:rsidRPr="00F82E58">
        <w:rPr>
          <w:rFonts w:ascii="Times New Roman" w:hAnsi="Times New Roman"/>
          <w:color w:val="548DD4" w:themeColor="text2" w:themeTint="99"/>
          <w:sz w:val="44"/>
          <w:szCs w:val="44"/>
        </w:rPr>
        <w:t>0</w:t>
      </w:r>
      <w:r w:rsidR="003B5799" w:rsidRPr="00F82E58">
        <w:rPr>
          <w:rFonts w:ascii="Times New Roman" w:hAnsi="Times New Roman"/>
          <w:color w:val="548DD4" w:themeColor="text2" w:themeTint="99"/>
          <w:sz w:val="44"/>
          <w:szCs w:val="44"/>
        </w:rPr>
        <w:t>0</w:t>
      </w:r>
      <w:r w:rsidR="00CB7B36" w:rsidRPr="00F82E58">
        <w:rPr>
          <w:rFonts w:ascii="Times New Roman" w:hAnsi="Times New Roman"/>
          <w:color w:val="548DD4" w:themeColor="text2" w:themeTint="99"/>
          <w:sz w:val="44"/>
          <w:szCs w:val="44"/>
        </w:rPr>
        <w:t xml:space="preserve"> </w:t>
      </w:r>
      <w:r w:rsidR="008D49C9" w:rsidRPr="00F82E58">
        <w:rPr>
          <w:rFonts w:ascii="Times New Roman" w:hAnsi="Times New Roman"/>
          <w:color w:val="548DD4" w:themeColor="text2" w:themeTint="99"/>
          <w:sz w:val="44"/>
          <w:szCs w:val="44"/>
        </w:rPr>
        <w:t>p</w:t>
      </w:r>
      <w:r w:rsidR="00CB7B36" w:rsidRPr="00F82E58">
        <w:rPr>
          <w:rFonts w:ascii="Times New Roman" w:hAnsi="Times New Roman"/>
          <w:color w:val="548DD4" w:themeColor="text2" w:themeTint="99"/>
          <w:sz w:val="44"/>
          <w:szCs w:val="44"/>
        </w:rPr>
        <w:t xml:space="preserve">.m., </w:t>
      </w:r>
      <w:r w:rsidR="003B5799" w:rsidRPr="00F82E58">
        <w:rPr>
          <w:rFonts w:ascii="Times New Roman" w:hAnsi="Times New Roman"/>
          <w:color w:val="548DD4" w:themeColor="text2" w:themeTint="99"/>
          <w:sz w:val="44"/>
          <w:szCs w:val="44"/>
        </w:rPr>
        <w:t>5</w:t>
      </w:r>
      <w:r w:rsidR="008B1ACA" w:rsidRPr="00F82E58">
        <w:rPr>
          <w:rFonts w:ascii="Times New Roman" w:hAnsi="Times New Roman"/>
          <w:color w:val="548DD4" w:themeColor="text2" w:themeTint="99"/>
          <w:sz w:val="44"/>
          <w:szCs w:val="44"/>
        </w:rPr>
        <w:t xml:space="preserve"> </w:t>
      </w:r>
      <w:r w:rsidR="002244C2" w:rsidRPr="00F82E58">
        <w:rPr>
          <w:rFonts w:ascii="Times New Roman" w:hAnsi="Times New Roman"/>
          <w:color w:val="548DD4" w:themeColor="text2" w:themeTint="99"/>
          <w:sz w:val="44"/>
          <w:szCs w:val="44"/>
        </w:rPr>
        <w:t>May</w:t>
      </w:r>
      <w:r w:rsidR="008D49C9" w:rsidRPr="00F82E58">
        <w:rPr>
          <w:rFonts w:ascii="Times New Roman" w:hAnsi="Times New Roman"/>
          <w:color w:val="548DD4" w:themeColor="text2" w:themeTint="99"/>
          <w:sz w:val="44"/>
          <w:szCs w:val="44"/>
        </w:rPr>
        <w:t xml:space="preserve"> 201</w:t>
      </w:r>
      <w:r w:rsidR="00432E21" w:rsidRPr="00F82E58">
        <w:rPr>
          <w:rFonts w:ascii="Times New Roman" w:hAnsi="Times New Roman"/>
          <w:color w:val="548DD4" w:themeColor="text2" w:themeTint="99"/>
          <w:sz w:val="44"/>
          <w:szCs w:val="44"/>
        </w:rPr>
        <w:t>6</w:t>
      </w:r>
      <w:r w:rsidR="00CB7B36" w:rsidRPr="00F82E58">
        <w:rPr>
          <w:rFonts w:ascii="Times New Roman" w:hAnsi="Times New Roman"/>
          <w:color w:val="548DD4" w:themeColor="text2" w:themeTint="99"/>
          <w:sz w:val="44"/>
          <w:szCs w:val="44"/>
        </w:rPr>
        <w:t xml:space="preserve">, </w:t>
      </w:r>
      <w:proofErr w:type="spellStart"/>
      <w:r w:rsidRPr="00F82E58">
        <w:rPr>
          <w:rFonts w:ascii="Times New Roman" w:hAnsi="Times New Roman"/>
          <w:color w:val="548DD4" w:themeColor="text2" w:themeTint="99"/>
          <w:sz w:val="44"/>
          <w:szCs w:val="44"/>
        </w:rPr>
        <w:t>Gellner</w:t>
      </w:r>
      <w:proofErr w:type="spellEnd"/>
      <w:r w:rsidRPr="00F82E58">
        <w:rPr>
          <w:rFonts w:ascii="Times New Roman" w:hAnsi="Times New Roman"/>
          <w:color w:val="548DD4" w:themeColor="text2" w:themeTint="99"/>
          <w:sz w:val="44"/>
          <w:szCs w:val="44"/>
        </w:rPr>
        <w:t xml:space="preserve"> Room (Monument Building)</w:t>
      </w:r>
    </w:p>
    <w:p w:rsidR="004E40D3" w:rsidRPr="00E00B06" w:rsidRDefault="004E40D3">
      <w:pPr>
        <w:pStyle w:val="FreeForm"/>
        <w:jc w:val="center"/>
        <w:rPr>
          <w:rFonts w:ascii="Times New Roman" w:hAnsi="Times New Roman"/>
        </w:rPr>
      </w:pPr>
    </w:p>
    <w:p w:rsidR="00A51762" w:rsidRPr="00A51762" w:rsidRDefault="00A51762" w:rsidP="00364E0B">
      <w:pPr>
        <w:pStyle w:val="NormalWeb"/>
        <w:spacing w:line="360" w:lineRule="atLeast"/>
        <w:jc w:val="both"/>
        <w:rPr>
          <w:color w:val="000000"/>
          <w:sz w:val="36"/>
          <w:szCs w:val="36"/>
        </w:rPr>
      </w:pPr>
      <w:r w:rsidRPr="00A51762">
        <w:rPr>
          <w:color w:val="000000"/>
          <w:sz w:val="36"/>
          <w:szCs w:val="36"/>
        </w:rPr>
        <w:t xml:space="preserve">Why does gender matter when looking at developments in the Middle East? The lecture will develop the argument that gender is not a side issue but central to understanding recent developments in the region. Focusing on Iraq, Egypt and Turkey as three different sites of conflict and violence, but also addressing developments in other parts of the Middle East, the </w:t>
      </w:r>
      <w:proofErr w:type="gramStart"/>
      <w:r w:rsidRPr="00A51762">
        <w:rPr>
          <w:color w:val="000000"/>
          <w:sz w:val="36"/>
          <w:szCs w:val="36"/>
        </w:rPr>
        <w:t>talk</w:t>
      </w:r>
      <w:proofErr w:type="gramEnd"/>
      <w:r w:rsidRPr="00A51762">
        <w:rPr>
          <w:color w:val="000000"/>
          <w:sz w:val="36"/>
          <w:szCs w:val="36"/>
        </w:rPr>
        <w:t xml:space="preserve"> will explore the significance of body politics for wider political developments. It will also show how feminist activism in the region is particularly challenged to not only address gender-based inequalities and forms of injustices but also wider forms of political authoritarianism.</w:t>
      </w:r>
    </w:p>
    <w:p w:rsidR="00ED6C30" w:rsidRPr="00E00B06" w:rsidRDefault="00ED6C30">
      <w:pPr>
        <w:pStyle w:val="FreeForm"/>
        <w:jc w:val="center"/>
        <w:rPr>
          <w:rFonts w:ascii="Times New Roman" w:hAnsi="Times New Roman"/>
          <w:sz w:val="32"/>
          <w:szCs w:val="32"/>
        </w:rPr>
      </w:pPr>
      <w:r w:rsidRPr="00E00B06">
        <w:rPr>
          <w:rFonts w:ascii="Times New Roman" w:hAnsi="Times New Roman"/>
          <w:sz w:val="32"/>
          <w:szCs w:val="32"/>
        </w:rPr>
        <w:t xml:space="preserve">*** </w:t>
      </w:r>
    </w:p>
    <w:p w:rsidR="0085479E" w:rsidRPr="00E00B06" w:rsidRDefault="0085479E">
      <w:pPr>
        <w:pStyle w:val="FreeForm"/>
        <w:jc w:val="center"/>
        <w:rPr>
          <w:rFonts w:ascii="Times New Roman" w:hAnsi="Times New Roman"/>
          <w:sz w:val="32"/>
          <w:szCs w:val="32"/>
        </w:rPr>
      </w:pPr>
    </w:p>
    <w:p w:rsidR="00A51762" w:rsidRPr="00A51762" w:rsidRDefault="00A51762" w:rsidP="00364E0B">
      <w:pPr>
        <w:spacing w:before="100" w:beforeAutospacing="1" w:after="100" w:afterAutospacing="1"/>
        <w:jc w:val="both"/>
        <w:rPr>
          <w:i/>
          <w:sz w:val="36"/>
          <w:szCs w:val="36"/>
        </w:rPr>
      </w:pPr>
      <w:proofErr w:type="spellStart"/>
      <w:r w:rsidRPr="00A51762">
        <w:rPr>
          <w:b/>
          <w:i/>
          <w:sz w:val="36"/>
          <w:szCs w:val="36"/>
        </w:rPr>
        <w:t>Nadje</w:t>
      </w:r>
      <w:proofErr w:type="spellEnd"/>
      <w:r w:rsidRPr="00A51762">
        <w:rPr>
          <w:b/>
          <w:i/>
          <w:sz w:val="36"/>
          <w:szCs w:val="36"/>
        </w:rPr>
        <w:t xml:space="preserve"> Al-Ali</w:t>
      </w:r>
      <w:r>
        <w:rPr>
          <w:rFonts w:ascii="Verdana" w:hAnsi="Verdana"/>
        </w:rPr>
        <w:t xml:space="preserve"> </w:t>
      </w:r>
      <w:r w:rsidRPr="00A51762">
        <w:rPr>
          <w:i/>
          <w:sz w:val="36"/>
          <w:szCs w:val="36"/>
        </w:rPr>
        <w:t xml:space="preserve">is Professor of Gender Studies at the Centre for Gender Studies, SOAS, </w:t>
      </w:r>
      <w:proofErr w:type="gramStart"/>
      <w:r w:rsidRPr="00A51762">
        <w:rPr>
          <w:i/>
          <w:sz w:val="36"/>
          <w:szCs w:val="36"/>
        </w:rPr>
        <w:t>University</w:t>
      </w:r>
      <w:proofErr w:type="gramEnd"/>
      <w:r w:rsidRPr="00A51762">
        <w:rPr>
          <w:i/>
          <w:sz w:val="36"/>
          <w:szCs w:val="36"/>
        </w:rPr>
        <w:t xml:space="preserve"> of London. She has published widely on women and gender in the Middle East as well as transnational migration and diaspora mobilization. Her publications include</w:t>
      </w:r>
      <w:r w:rsidRPr="00A51762">
        <w:rPr>
          <w:i/>
          <w:iCs/>
          <w:sz w:val="36"/>
          <w:szCs w:val="36"/>
        </w:rPr>
        <w:t xml:space="preserve"> </w:t>
      </w:r>
      <w:proofErr w:type="gramStart"/>
      <w:r w:rsidRPr="00A51762">
        <w:rPr>
          <w:i/>
          <w:iCs/>
          <w:sz w:val="36"/>
          <w:szCs w:val="36"/>
        </w:rPr>
        <w:t>What</w:t>
      </w:r>
      <w:proofErr w:type="gramEnd"/>
      <w:r w:rsidRPr="00A51762">
        <w:rPr>
          <w:i/>
          <w:iCs/>
          <w:sz w:val="36"/>
          <w:szCs w:val="36"/>
        </w:rPr>
        <w:t xml:space="preserve"> kind of Liberation? Women and the Occupation of Iraq</w:t>
      </w:r>
      <w:r w:rsidRPr="00A51762">
        <w:rPr>
          <w:i/>
          <w:sz w:val="36"/>
          <w:szCs w:val="36"/>
        </w:rPr>
        <w:t xml:space="preserve"> (2009, University of California Press, co-authored with Nicola Pratt); </w:t>
      </w:r>
      <w:r w:rsidRPr="00A51762">
        <w:rPr>
          <w:i/>
          <w:iCs/>
          <w:sz w:val="36"/>
          <w:szCs w:val="36"/>
        </w:rPr>
        <w:t xml:space="preserve">Women and War in the Middle East: Transnational Perspectives </w:t>
      </w:r>
      <w:r w:rsidRPr="00A51762">
        <w:rPr>
          <w:i/>
          <w:sz w:val="36"/>
          <w:szCs w:val="36"/>
        </w:rPr>
        <w:t>(Zed Books, 2009, co-edited with Nicola Pratt);</w:t>
      </w:r>
      <w:r w:rsidRPr="00A51762">
        <w:rPr>
          <w:i/>
          <w:iCs/>
          <w:sz w:val="36"/>
          <w:szCs w:val="36"/>
        </w:rPr>
        <w:t xml:space="preserve"> Iraqi Women: Untold Stories from 1948 to the Present</w:t>
      </w:r>
      <w:r w:rsidRPr="00A51762">
        <w:rPr>
          <w:i/>
          <w:sz w:val="36"/>
          <w:szCs w:val="36"/>
        </w:rPr>
        <w:t xml:space="preserve"> (2007, Zed Books) and </w:t>
      </w:r>
      <w:r w:rsidRPr="00A51762">
        <w:rPr>
          <w:i/>
          <w:iCs/>
          <w:sz w:val="36"/>
          <w:szCs w:val="36"/>
        </w:rPr>
        <w:t>Secularism, Gender and the State in the Middle East</w:t>
      </w:r>
      <w:r w:rsidRPr="00A51762">
        <w:rPr>
          <w:i/>
          <w:sz w:val="36"/>
          <w:szCs w:val="36"/>
        </w:rPr>
        <w:t xml:space="preserve"> (Cambridge University Press 2000). Her most recent book (co-edited with Deborah al-</w:t>
      </w:r>
      <w:proofErr w:type="spellStart"/>
      <w:r w:rsidRPr="00A51762">
        <w:rPr>
          <w:i/>
          <w:sz w:val="36"/>
          <w:szCs w:val="36"/>
        </w:rPr>
        <w:t>Najjar</w:t>
      </w:r>
      <w:proofErr w:type="spellEnd"/>
      <w:r w:rsidRPr="00A51762">
        <w:rPr>
          <w:i/>
          <w:sz w:val="36"/>
          <w:szCs w:val="36"/>
        </w:rPr>
        <w:t xml:space="preserve">) entitled </w:t>
      </w:r>
      <w:r w:rsidRPr="00A51762">
        <w:rPr>
          <w:i/>
          <w:iCs/>
          <w:sz w:val="36"/>
          <w:szCs w:val="36"/>
        </w:rPr>
        <w:t>We are Iraqis: Aesthetics &amp; Politics in a Time of War</w:t>
      </w:r>
      <w:r w:rsidRPr="00A51762">
        <w:rPr>
          <w:i/>
          <w:sz w:val="36"/>
          <w:szCs w:val="36"/>
        </w:rPr>
        <w:t xml:space="preserve"> (Syracuse University Press) won the 2014 Arab-American book prize for non-fiction. Currently, she is working on a research project about the Turkish-Kurdish conflict. Professor Al-Ali is a member of the </w:t>
      </w:r>
      <w:r w:rsidRPr="00A51762">
        <w:rPr>
          <w:i/>
          <w:iCs/>
          <w:sz w:val="36"/>
          <w:szCs w:val="36"/>
        </w:rPr>
        <w:t>Feminist Review</w:t>
      </w:r>
      <w:r w:rsidRPr="00A51762">
        <w:rPr>
          <w:i/>
          <w:sz w:val="36"/>
          <w:szCs w:val="36"/>
        </w:rPr>
        <w:t xml:space="preserve"> Collective. </w:t>
      </w:r>
    </w:p>
    <w:p w:rsidR="00E00B06" w:rsidRPr="00E00B06" w:rsidRDefault="00E00B06" w:rsidP="0085479E">
      <w:pPr>
        <w:jc w:val="both"/>
        <w:rPr>
          <w:i/>
          <w:sz w:val="36"/>
          <w:szCs w:val="36"/>
        </w:rPr>
      </w:pPr>
    </w:p>
    <w:sectPr w:rsidR="00E00B06" w:rsidRPr="00E00B06" w:rsidSect="004A0A44">
      <w:headerReference w:type="default" r:id="rId7"/>
      <w:pgSz w:w="16839" w:h="23814" w:code="8"/>
      <w:pgMar w:top="1440" w:right="1440" w:bottom="1440" w:left="1440" w:header="720" w:footer="864"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3B" w:rsidRDefault="0066423B">
      <w:r>
        <w:separator/>
      </w:r>
    </w:p>
  </w:endnote>
  <w:endnote w:type="continuationSeparator" w:id="0">
    <w:p w:rsidR="0066423B" w:rsidRDefault="0066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3B" w:rsidRDefault="0066423B">
      <w:r>
        <w:separator/>
      </w:r>
    </w:p>
  </w:footnote>
  <w:footnote w:type="continuationSeparator" w:id="0">
    <w:p w:rsidR="0066423B" w:rsidRDefault="0066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10" w:rsidRDefault="00A51762" w:rsidP="00AE1A10">
    <w:pPr>
      <w:pStyle w:val="Header"/>
      <w:tabs>
        <w:tab w:val="left" w:pos="7380"/>
      </w:tabs>
    </w:pPr>
    <w:r>
      <w:rPr>
        <w:noProof/>
        <w:sz w:val="28"/>
      </w:rPr>
      <w:drawing>
        <wp:inline distT="0" distB="0" distL="0" distR="0">
          <wp:extent cx="191262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508760"/>
                  </a:xfrm>
                  <a:prstGeom prst="rect">
                    <a:avLst/>
                  </a:prstGeom>
                  <a:noFill/>
                  <a:ln>
                    <a:noFill/>
                  </a:ln>
                </pic:spPr>
              </pic:pic>
            </a:graphicData>
          </a:graphic>
        </wp:inline>
      </w:drawing>
    </w:r>
  </w:p>
  <w:p w:rsidR="0066423B" w:rsidRDefault="0066423B" w:rsidP="00585DF6">
    <w:pPr>
      <w:pStyle w:val="HeaderFooter"/>
      <w:jc w:val="right"/>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2"/>
    <w:rsid w:val="00041237"/>
    <w:rsid w:val="000632F0"/>
    <w:rsid w:val="00150A58"/>
    <w:rsid w:val="00161CB3"/>
    <w:rsid w:val="001735ED"/>
    <w:rsid w:val="00177811"/>
    <w:rsid w:val="001B02DA"/>
    <w:rsid w:val="001D1C17"/>
    <w:rsid w:val="002244C2"/>
    <w:rsid w:val="00227CEC"/>
    <w:rsid w:val="002307EF"/>
    <w:rsid w:val="00261B3C"/>
    <w:rsid w:val="002D6BCB"/>
    <w:rsid w:val="002F0EA4"/>
    <w:rsid w:val="00313034"/>
    <w:rsid w:val="00321B13"/>
    <w:rsid w:val="00337A40"/>
    <w:rsid w:val="00364E0B"/>
    <w:rsid w:val="00373436"/>
    <w:rsid w:val="00376C71"/>
    <w:rsid w:val="003A5750"/>
    <w:rsid w:val="003B1C1B"/>
    <w:rsid w:val="003B5799"/>
    <w:rsid w:val="003F52AB"/>
    <w:rsid w:val="003F60FD"/>
    <w:rsid w:val="0041422E"/>
    <w:rsid w:val="00430439"/>
    <w:rsid w:val="00432E21"/>
    <w:rsid w:val="00467CD9"/>
    <w:rsid w:val="004A0A44"/>
    <w:rsid w:val="004E40D3"/>
    <w:rsid w:val="004E712C"/>
    <w:rsid w:val="004F3D09"/>
    <w:rsid w:val="00570521"/>
    <w:rsid w:val="00585DF6"/>
    <w:rsid w:val="005D1ED2"/>
    <w:rsid w:val="0066423B"/>
    <w:rsid w:val="00673967"/>
    <w:rsid w:val="006D0AFE"/>
    <w:rsid w:val="006E57F8"/>
    <w:rsid w:val="006F06A0"/>
    <w:rsid w:val="006F315E"/>
    <w:rsid w:val="00793408"/>
    <w:rsid w:val="007A55A7"/>
    <w:rsid w:val="007C5827"/>
    <w:rsid w:val="007C66C9"/>
    <w:rsid w:val="00803C9E"/>
    <w:rsid w:val="0085479E"/>
    <w:rsid w:val="008837C0"/>
    <w:rsid w:val="0089048A"/>
    <w:rsid w:val="0089298D"/>
    <w:rsid w:val="008B1ACA"/>
    <w:rsid w:val="008C4B28"/>
    <w:rsid w:val="008D49C9"/>
    <w:rsid w:val="00901962"/>
    <w:rsid w:val="0092698A"/>
    <w:rsid w:val="0096241F"/>
    <w:rsid w:val="009763CC"/>
    <w:rsid w:val="009B26E2"/>
    <w:rsid w:val="00A037B3"/>
    <w:rsid w:val="00A367FD"/>
    <w:rsid w:val="00A51762"/>
    <w:rsid w:val="00AE1A10"/>
    <w:rsid w:val="00AE627B"/>
    <w:rsid w:val="00AF688F"/>
    <w:rsid w:val="00B13922"/>
    <w:rsid w:val="00B32BF1"/>
    <w:rsid w:val="00B608C0"/>
    <w:rsid w:val="00B91E5C"/>
    <w:rsid w:val="00BB6108"/>
    <w:rsid w:val="00BC143D"/>
    <w:rsid w:val="00C572D0"/>
    <w:rsid w:val="00CA7A71"/>
    <w:rsid w:val="00CB7B36"/>
    <w:rsid w:val="00D30B9D"/>
    <w:rsid w:val="00D331BB"/>
    <w:rsid w:val="00D42980"/>
    <w:rsid w:val="00D552D4"/>
    <w:rsid w:val="00DA01B0"/>
    <w:rsid w:val="00DB031A"/>
    <w:rsid w:val="00DC4535"/>
    <w:rsid w:val="00DD5A31"/>
    <w:rsid w:val="00DD721E"/>
    <w:rsid w:val="00DF703D"/>
    <w:rsid w:val="00E00B06"/>
    <w:rsid w:val="00E62252"/>
    <w:rsid w:val="00E66691"/>
    <w:rsid w:val="00E97033"/>
    <w:rsid w:val="00ED6C30"/>
    <w:rsid w:val="00EE6F38"/>
    <w:rsid w:val="00F8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5:docId w15:val="{2E211C96-5979-43CA-989C-BBC5E57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8A"/>
    <w:rPr>
      <w:sz w:val="24"/>
      <w:szCs w:val="24"/>
    </w:rPr>
  </w:style>
  <w:style w:type="paragraph" w:styleId="Heading2">
    <w:name w:val="heading 2"/>
    <w:basedOn w:val="Normal"/>
    <w:link w:val="Heading2Char"/>
    <w:uiPriority w:val="9"/>
    <w:semiHidden/>
    <w:unhideWhenUsed/>
    <w:qFormat/>
    <w:locked/>
    <w:rsid w:val="00A517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048A"/>
    <w:pPr>
      <w:tabs>
        <w:tab w:val="right" w:pos="9360"/>
      </w:tabs>
    </w:pPr>
    <w:rPr>
      <w:rFonts w:ascii="Helvetica" w:eastAsia="ヒラギノ角ゴ Pro W3" w:hAnsi="Helvetica"/>
      <w:color w:val="000000"/>
    </w:rPr>
  </w:style>
  <w:style w:type="paragraph" w:customStyle="1" w:styleId="FreeForm">
    <w:name w:val="Free Form"/>
    <w:rsid w:val="0089048A"/>
    <w:rPr>
      <w:rFonts w:ascii="Helvetica" w:eastAsia="ヒラギノ角ゴ Pro W3" w:hAnsi="Helvetica"/>
      <w:color w:val="000000"/>
      <w:sz w:val="24"/>
    </w:rPr>
  </w:style>
  <w:style w:type="paragraph" w:styleId="Header">
    <w:name w:val="header"/>
    <w:basedOn w:val="Normal"/>
    <w:link w:val="HeaderChar"/>
    <w:uiPriority w:val="99"/>
    <w:locked/>
    <w:rsid w:val="00E97033"/>
    <w:pPr>
      <w:tabs>
        <w:tab w:val="center" w:pos="4680"/>
        <w:tab w:val="right" w:pos="9360"/>
      </w:tabs>
    </w:pPr>
  </w:style>
  <w:style w:type="character" w:customStyle="1" w:styleId="HeaderChar">
    <w:name w:val="Header Char"/>
    <w:link w:val="Header"/>
    <w:uiPriority w:val="99"/>
    <w:rsid w:val="00E97033"/>
    <w:rPr>
      <w:sz w:val="24"/>
      <w:szCs w:val="24"/>
    </w:rPr>
  </w:style>
  <w:style w:type="paragraph" w:styleId="Footer">
    <w:name w:val="footer"/>
    <w:basedOn w:val="Normal"/>
    <w:link w:val="FooterChar"/>
    <w:locked/>
    <w:rsid w:val="00E97033"/>
    <w:pPr>
      <w:tabs>
        <w:tab w:val="center" w:pos="4680"/>
        <w:tab w:val="right" w:pos="9360"/>
      </w:tabs>
    </w:pPr>
  </w:style>
  <w:style w:type="character" w:customStyle="1" w:styleId="FooterChar">
    <w:name w:val="Footer Char"/>
    <w:link w:val="Footer"/>
    <w:rsid w:val="00E97033"/>
    <w:rPr>
      <w:sz w:val="24"/>
      <w:szCs w:val="24"/>
    </w:rPr>
  </w:style>
  <w:style w:type="paragraph" w:customStyle="1" w:styleId="yiv1926658200msonormal">
    <w:name w:val="yiv1926658200msonormal"/>
    <w:basedOn w:val="Normal"/>
    <w:rsid w:val="00430439"/>
    <w:pPr>
      <w:spacing w:before="100" w:beforeAutospacing="1" w:after="100" w:afterAutospacing="1"/>
    </w:pPr>
  </w:style>
  <w:style w:type="paragraph" w:styleId="BalloonText">
    <w:name w:val="Balloon Text"/>
    <w:basedOn w:val="Normal"/>
    <w:link w:val="BalloonTextChar"/>
    <w:semiHidden/>
    <w:unhideWhenUsed/>
    <w:locked/>
    <w:rsid w:val="00E62252"/>
    <w:rPr>
      <w:rFonts w:ascii="Segoe UI" w:hAnsi="Segoe UI" w:cs="Segoe UI"/>
      <w:sz w:val="18"/>
      <w:szCs w:val="18"/>
    </w:rPr>
  </w:style>
  <w:style w:type="character" w:customStyle="1" w:styleId="BalloonTextChar">
    <w:name w:val="Balloon Text Char"/>
    <w:link w:val="BalloonText"/>
    <w:semiHidden/>
    <w:rsid w:val="00E62252"/>
    <w:rPr>
      <w:rFonts w:ascii="Segoe UI" w:hAnsi="Segoe UI" w:cs="Segoe UI"/>
      <w:sz w:val="18"/>
      <w:szCs w:val="18"/>
    </w:rPr>
  </w:style>
  <w:style w:type="character" w:customStyle="1" w:styleId="Heading2Char">
    <w:name w:val="Heading 2 Char"/>
    <w:basedOn w:val="DefaultParagraphFont"/>
    <w:link w:val="Heading2"/>
    <w:uiPriority w:val="9"/>
    <w:semiHidden/>
    <w:rsid w:val="00A51762"/>
    <w:rPr>
      <w:b/>
      <w:bCs/>
      <w:sz w:val="36"/>
      <w:szCs w:val="36"/>
    </w:rPr>
  </w:style>
  <w:style w:type="paragraph" w:styleId="NormalWeb">
    <w:name w:val="Normal (Web)"/>
    <w:basedOn w:val="Normal"/>
    <w:uiPriority w:val="99"/>
    <w:semiHidden/>
    <w:unhideWhenUsed/>
    <w:locked/>
    <w:rsid w:val="00A51762"/>
    <w:pPr>
      <w:spacing w:before="100" w:beforeAutospacing="1" w:after="100" w:afterAutospacing="1"/>
    </w:pPr>
    <w:rPr>
      <w:rFonts w:eastAsia="Calibri"/>
    </w:rPr>
  </w:style>
  <w:style w:type="character" w:styleId="Emphasis">
    <w:name w:val="Emphasis"/>
    <w:basedOn w:val="DefaultParagraphFont"/>
    <w:uiPriority w:val="20"/>
    <w:qFormat/>
    <w:locked/>
    <w:rsid w:val="00F8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353">
      <w:bodyDiv w:val="1"/>
      <w:marLeft w:val="0"/>
      <w:marRight w:val="0"/>
      <w:marTop w:val="0"/>
      <w:marBottom w:val="0"/>
      <w:divBdr>
        <w:top w:val="none" w:sz="0" w:space="0" w:color="auto"/>
        <w:left w:val="none" w:sz="0" w:space="0" w:color="auto"/>
        <w:bottom w:val="none" w:sz="0" w:space="0" w:color="auto"/>
        <w:right w:val="none" w:sz="0" w:space="0" w:color="auto"/>
      </w:divBdr>
    </w:div>
    <w:div w:id="208347068">
      <w:bodyDiv w:val="1"/>
      <w:marLeft w:val="60"/>
      <w:marRight w:val="60"/>
      <w:marTop w:val="60"/>
      <w:marBottom w:val="15"/>
      <w:divBdr>
        <w:top w:val="none" w:sz="0" w:space="0" w:color="auto"/>
        <w:left w:val="none" w:sz="0" w:space="0" w:color="auto"/>
        <w:bottom w:val="none" w:sz="0" w:space="0" w:color="auto"/>
        <w:right w:val="none" w:sz="0" w:space="0" w:color="auto"/>
      </w:divBdr>
    </w:div>
    <w:div w:id="1247423299">
      <w:bodyDiv w:val="1"/>
      <w:marLeft w:val="0"/>
      <w:marRight w:val="0"/>
      <w:marTop w:val="0"/>
      <w:marBottom w:val="0"/>
      <w:divBdr>
        <w:top w:val="none" w:sz="0" w:space="0" w:color="auto"/>
        <w:left w:val="none" w:sz="0" w:space="0" w:color="auto"/>
        <w:bottom w:val="none" w:sz="0" w:space="0" w:color="auto"/>
        <w:right w:val="none" w:sz="0" w:space="0" w:color="auto"/>
      </w:divBdr>
    </w:div>
    <w:div w:id="1384013974">
      <w:bodyDiv w:val="1"/>
      <w:marLeft w:val="0"/>
      <w:marRight w:val="0"/>
      <w:marTop w:val="0"/>
      <w:marBottom w:val="0"/>
      <w:divBdr>
        <w:top w:val="none" w:sz="0" w:space="0" w:color="auto"/>
        <w:left w:val="none" w:sz="0" w:space="0" w:color="auto"/>
        <w:bottom w:val="none" w:sz="0" w:space="0" w:color="auto"/>
        <w:right w:val="none" w:sz="0" w:space="0" w:color="auto"/>
      </w:divBdr>
    </w:div>
    <w:div w:id="1416239923">
      <w:bodyDiv w:val="1"/>
      <w:marLeft w:val="0"/>
      <w:marRight w:val="0"/>
      <w:marTop w:val="0"/>
      <w:marBottom w:val="0"/>
      <w:divBdr>
        <w:top w:val="none" w:sz="0" w:space="0" w:color="auto"/>
        <w:left w:val="none" w:sz="0" w:space="0" w:color="auto"/>
        <w:bottom w:val="none" w:sz="0" w:space="0" w:color="auto"/>
        <w:right w:val="none" w:sz="0" w:space="0" w:color="auto"/>
      </w:divBdr>
      <w:divsChild>
        <w:div w:id="377556445">
          <w:marLeft w:val="0"/>
          <w:marRight w:val="0"/>
          <w:marTop w:val="0"/>
          <w:marBottom w:val="0"/>
          <w:divBdr>
            <w:top w:val="none" w:sz="0" w:space="0" w:color="auto"/>
            <w:left w:val="none" w:sz="0" w:space="0" w:color="auto"/>
            <w:bottom w:val="none" w:sz="0" w:space="0" w:color="auto"/>
            <w:right w:val="none" w:sz="0" w:space="0" w:color="auto"/>
          </w:divBdr>
          <w:divsChild>
            <w:div w:id="393818236">
              <w:marLeft w:val="0"/>
              <w:marRight w:val="0"/>
              <w:marTop w:val="0"/>
              <w:marBottom w:val="0"/>
              <w:divBdr>
                <w:top w:val="none" w:sz="0" w:space="0" w:color="auto"/>
                <w:left w:val="none" w:sz="0" w:space="0" w:color="auto"/>
                <w:bottom w:val="none" w:sz="0" w:space="0" w:color="auto"/>
                <w:right w:val="none" w:sz="0" w:space="0" w:color="auto"/>
              </w:divBdr>
              <w:divsChild>
                <w:div w:id="12033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1983-6B57-435C-981D-59AD8F4A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Department of Gender Studies</vt:lpstr>
    </vt:vector>
  </TitlesOfParts>
  <Company>Central European University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Gender Studies</dc:title>
  <dc:subject/>
  <dc:creator>CEU</dc:creator>
  <cp:keywords/>
  <cp:lastModifiedBy>CEU</cp:lastModifiedBy>
  <cp:revision>4</cp:revision>
  <cp:lastPrinted>2016-04-15T10:09:00Z</cp:lastPrinted>
  <dcterms:created xsi:type="dcterms:W3CDTF">2016-04-28T07:09:00Z</dcterms:created>
  <dcterms:modified xsi:type="dcterms:W3CDTF">2016-04-28T10:27:00Z</dcterms:modified>
</cp:coreProperties>
</file>